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png"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0"/>
      </w:pPr>
      <w:r>
        <w:rPr>
          <w:rFonts w:ascii="Calibri" w:hAnsi="Calibri"/>
          <w:b/>
          <w:i w:val="0"/>
          <w:color w:val="0A0A0A"/>
          <w:sz w:val="52"/>
        </w:rPr>
        <w:t>Portfolio Evidence Tracker</w:t>
      </w:r>
    </w:p>
    <w:p>
      <w:pPr>
        <w:spacing w:after="200" w:before="0"/>
      </w:pPr>
      <w:r>
        <w:rPr>
          <w:rFonts w:ascii="Calibri" w:hAnsi="Calibri"/>
          <w:b w:val="0"/>
          <w:i/>
          <w:color w:val="6B7280"/>
          <w:sz w:val="19"/>
        </w:rPr>
        <w:t>AI &amp; Automation Practitioner Apprenticeship (ST1512 v2.1, Level 4)  ·  Flexible Assessment Method  ·  Blank starter template</w:t>
      </w:r>
    </w:p>
    <w:tbl>
      <w:tblPr>
        <w:tblW w:type="auto" w:w="0"/>
        <w:tblLayout w:type="autofit"/>
        <w:tblLook w:firstColumn="1" w:firstRow="1" w:lastColumn="0" w:lastRow="0" w:noHBand="0" w:noVBand="1" w:val="04A0"/>
      </w:tblPr>
      <w:tblGrid>
        <w:gridCol w:w="9746"/>
      </w:tblGrid>
      <w:tr>
        <w:tc>
          <w:tcPr>
            <w:tcW w:type="dxa" w:w="9746"/>
            <w:shd w:val="clear" w:fill="FFF0EB"/>
            <w:tcBorders>
              <w:top w:val="single" w:sz="4" w:color="E5E7EB" w:space="0"/>
              <w:left w:val="single" w:sz="24" w:color="FF4800" w:space="0"/>
              <w:bottom w:val="single" w:sz="4" w:color="E5E7EB" w:space="0"/>
              <w:right w:val="single" w:sz="4" w:color="E5E7EB" w:space="0"/>
            </w:tcBorders>
          </w:tcPr>
          <w:p>
            <w:pPr>
              <w:spacing w:after="40"/>
            </w:pPr>
            <w:r/>
            <w:r>
              <w:rPr>
                <w:rFonts w:ascii="Calibri" w:hAnsi="Calibri"/>
                <w:b w:val="0"/>
                <w:i w:val="0"/>
                <w:color w:val="4B5563"/>
                <w:sz w:val="21"/>
              </w:rPr>
              <w:t>This tracker is organised into 6 workplace-output tasks, each producing one piece of evidence that covers several KSBs at once — matching Progress Minded's Portfolio requirement of typically 6 pieces of evidence, maximum 12, rather than one piece per KSB. All 41 Flexible Method KSBs (AO1, AO4, AO5, AO6) are covered across the 6 tasks below.</w:t>
            </w:r>
          </w:p>
          <w:p>
            <w:pPr>
              <w:spacing w:after="40"/>
            </w:pPr>
            <w:r>
              <w:rPr>
                <w:rFonts w:ascii="Calibri" w:hAnsi="Calibri"/>
                <w:b/>
                <w:i w:val="0"/>
                <w:color w:val="0A0A0A"/>
                <w:sz w:val="21"/>
              </w:rPr>
              <w:t>Start from what you already wrote in your workbook, then shape it into proper paragraphs. Before you finish each piece, ask yourself: are there any other sentences or context I need to add so this reads as a standalone piece of evidence — clear to an assessor who hasn't seen my workbook?</w:t>
            </w:r>
          </w:p>
          <w:p>
            <w:pPr>
              <w:spacing w:after="40"/>
            </w:pPr>
            <w:r>
              <w:rPr>
                <w:rFonts w:ascii="Calibri" w:hAnsi="Calibri"/>
                <w:b w:val="0"/>
                <w:i w:val="0"/>
                <w:color w:val="4B5563"/>
                <w:sz w:val="21"/>
              </w:rPr>
              <w:t>AO2 and AO3 are assessed separately via your Project Report, not here.</w:t>
            </w:r>
          </w:p>
        </w:tc>
      </w:tr>
    </w:tbl>
    <w:p>
      <w:pPr>
        <w:spacing w:after="120" w:before="360"/>
      </w:pPr>
      <w:r>
        <w:rPr>
          <w:rFonts w:ascii="Calibri" w:hAnsi="Calibri"/>
          <w:b/>
          <w:i w:val="0"/>
          <w:color w:val="FF4800"/>
          <w:sz w:val="30"/>
        </w:rPr>
        <w:t>Task 1 — AI Opportunity &amp; Workflow Analysis  (AO1, AO6)</w:t>
      </w:r>
    </w:p>
    <w:p>
      <w:pPr>
        <w:spacing w:after="80"/>
      </w:pPr>
      <w:r>
        <w:rPr>
          <w:rFonts w:ascii="Calibri" w:hAnsi="Calibri"/>
          <w:b/>
          <w:i w:val="0"/>
          <w:color w:val="0A0A0A"/>
          <w:sz w:val="21"/>
        </w:rPr>
        <w:t xml:space="preserve">Workplace output: </w:t>
      </w:r>
      <w:r>
        <w:rPr>
          <w:rFonts w:ascii="Calibri" w:hAnsi="Calibri"/>
          <w:b w:val="0"/>
          <w:i w:val="0"/>
          <w:color w:val="4B5563"/>
          <w:sz w:val="21"/>
        </w:rPr>
        <w:t>Workflow map + written analysis identifying where AI/automation could improve processes in their org</w:t>
      </w:r>
    </w:p>
    <w:p>
      <w:pPr>
        <w:spacing w:after="40" w:before="0"/>
      </w:pPr>
      <w:r>
        <w:rPr>
          <w:rFonts w:ascii="Calibri" w:hAnsi="Calibri"/>
          <w:b/>
          <w:i w:val="0"/>
          <w:color w:val="6B7280"/>
          <w:sz w:val="21"/>
        </w:rPr>
        <w:t>KSBs this task covers:</w:t>
      </w:r>
    </w:p>
    <w:p>
      <w:pPr>
        <w:pStyle w:val="ListBullet"/>
        <w:spacing w:after="40"/>
      </w:pPr>
      <w:r>
        <w:rPr>
          <w:rFonts w:ascii="Calibri" w:hAnsi="Calibri"/>
          <w:b/>
          <w:i w:val="0"/>
          <w:color w:val="0A0A0A"/>
          <w:sz w:val="21"/>
        </w:rPr>
        <w:t>K5</w:t>
      </w:r>
      <w:r>
        <w:rPr>
          <w:rFonts w:ascii="Calibri" w:hAnsi="Calibri"/>
          <w:b w:val="0"/>
          <w:i w:val="0"/>
          <w:color w:val="4B5563"/>
          <w:sz w:val="21"/>
        </w:rPr>
        <w:t xml:space="preserve"> — Methods to identify opportunities to enhance productivity such as improve processes, reduce waste, increase user or customer satisfaction or optimise outcomes.</w:t>
      </w:r>
    </w:p>
    <w:p>
      <w:pPr>
        <w:pStyle w:val="ListBullet"/>
        <w:spacing w:after="40"/>
      </w:pPr>
      <w:r>
        <w:rPr>
          <w:rFonts w:ascii="Calibri" w:hAnsi="Calibri"/>
          <w:b/>
          <w:i w:val="0"/>
          <w:color w:val="0A0A0A"/>
          <w:sz w:val="21"/>
        </w:rPr>
        <w:t>K6</w:t>
      </w:r>
      <w:r>
        <w:rPr>
          <w:rFonts w:ascii="Calibri" w:hAnsi="Calibri"/>
          <w:b w:val="0"/>
          <w:i w:val="0"/>
          <w:color w:val="4B5563"/>
          <w:sz w:val="21"/>
        </w:rPr>
        <w:t xml:space="preserve"> — The importance of designing AI and automation systems that augment rather than replace human work, where feasible.</w:t>
      </w:r>
    </w:p>
    <w:p>
      <w:pPr>
        <w:pStyle w:val="ListBullet"/>
        <w:spacing w:after="40"/>
      </w:pPr>
      <w:r>
        <w:rPr>
          <w:rFonts w:ascii="Calibri" w:hAnsi="Calibri"/>
          <w:b/>
          <w:i w:val="0"/>
          <w:color w:val="0A0A0A"/>
          <w:sz w:val="21"/>
        </w:rPr>
        <w:t>K9</w:t>
      </w:r>
      <w:r>
        <w:rPr>
          <w:rFonts w:ascii="Calibri" w:hAnsi="Calibri"/>
          <w:b w:val="0"/>
          <w:i w:val="0"/>
          <w:color w:val="4B5563"/>
          <w:sz w:val="21"/>
        </w:rPr>
        <w:t xml:space="preserve"> — AI and automation concepts, models and limitations. The impact adoption may have on workplace culture and wellbeing.</w:t>
      </w:r>
    </w:p>
    <w:p>
      <w:pPr>
        <w:pStyle w:val="ListBullet"/>
        <w:spacing w:after="40"/>
      </w:pPr>
      <w:r>
        <w:rPr>
          <w:rFonts w:ascii="Calibri" w:hAnsi="Calibri"/>
          <w:b/>
          <w:i w:val="0"/>
          <w:color w:val="0A0A0A"/>
          <w:sz w:val="21"/>
        </w:rPr>
        <w:t>S6</w:t>
      </w:r>
      <w:r>
        <w:rPr>
          <w:rFonts w:ascii="Calibri" w:hAnsi="Calibri"/>
          <w:b w:val="0"/>
          <w:i w:val="0"/>
          <w:color w:val="4B5563"/>
          <w:sz w:val="21"/>
        </w:rPr>
        <w:t xml:space="preserve"> — Review and complete workflow and process mapping to identify problems or inefficiencies and recommend solutions including pilots, incremental changes and scaling opportunities.</w:t>
      </w:r>
    </w:p>
    <w:p>
      <w:pPr>
        <w:pStyle w:val="ListBullet"/>
        <w:spacing w:after="40"/>
      </w:pPr>
      <w:r>
        <w:rPr>
          <w:rFonts w:ascii="Calibri" w:hAnsi="Calibri"/>
          <w:b/>
          <w:i w:val="0"/>
          <w:color w:val="0A0A0A"/>
          <w:sz w:val="21"/>
        </w:rPr>
        <w:t>S13</w:t>
      </w:r>
      <w:r>
        <w:rPr>
          <w:rFonts w:ascii="Calibri" w:hAnsi="Calibri"/>
          <w:b w:val="0"/>
          <w:i w:val="0"/>
          <w:color w:val="4B5563"/>
          <w:sz w:val="21"/>
        </w:rPr>
        <w:t xml:space="preserve"> — Identify opportunities to deliver automation. Support leaders in integrating ethical, empathetic approaches when decision-making.</w:t>
      </w:r>
    </w:p>
    <w:p>
      <w:pPr>
        <w:pStyle w:val="ListBullet"/>
        <w:spacing w:after="40"/>
      </w:pPr>
      <w:r>
        <w:rPr>
          <w:rFonts w:ascii="Calibri" w:hAnsi="Calibri"/>
          <w:b/>
          <w:i w:val="0"/>
          <w:color w:val="0A0A0A"/>
          <w:sz w:val="21"/>
        </w:rPr>
        <w:t>S14</w:t>
      </w:r>
      <w:r>
        <w:rPr>
          <w:rFonts w:ascii="Calibri" w:hAnsi="Calibri"/>
          <w:b w:val="0"/>
          <w:i w:val="0"/>
          <w:color w:val="4B5563"/>
          <w:sz w:val="21"/>
        </w:rPr>
        <w:t xml:space="preserve"> — Support in the identification and evaluation of opportunities for increased productivity. For example, use of low-or no-code tools, streamlining processes and use of AI platforms.</w:t>
      </w:r>
    </w:p>
    <w:p>
      <w:pPr>
        <w:spacing w:after="80" w:before="120"/>
      </w:pPr>
      <w:r>
        <w:rPr>
          <w:rFonts w:ascii="Calibri" w:hAnsi="Calibri"/>
          <w:b w:val="0"/>
          <w:i w:val="0"/>
          <w:color w:val="6B7280"/>
          <w:sz w:val="21"/>
        </w:rPr>
        <w:t>Status:   ☐ Not started    ☐ In progress    ☐ Complete</w:t>
      </w:r>
    </w:p>
    <w:tbl>
      <w:tblPr>
        <w:tblW w:type="auto" w:w="0"/>
        <w:tblLayout w:type="autofit"/>
        <w:tblLook w:firstColumn="1" w:firstRow="1" w:lastColumn="0" w:lastRow="0" w:noHBand="0" w:noVBand="1" w:val="04A0"/>
      </w:tblPr>
      <w:tblGrid>
        <w:gridCol w:w="9746"/>
      </w:tblGrid>
      <w:tr>
        <w:tc>
          <w:tcPr>
            <w:tcW w:type="dxa" w:w="9746"/>
            <w:shd w:val="clear" w:fill="F7F7F7"/>
            <w:tcBorders>
              <w:top w:val="single" w:sz="4" w:color="E5E7EB" w:space="0"/>
              <w:left w:val="single" w:sz="4" w:color="E5E7EB" w:space="0"/>
              <w:bottom w:val="single" w:sz="4" w:color="E5E7EB" w:space="0"/>
              <w:right w:val="single" w:sz="4" w:color="E5E7EB" w:space="0"/>
            </w:tcBorders>
          </w:tcPr>
          <w:p>
            <w:pPr>
              <w:spacing w:after="40"/>
            </w:pPr>
            <w:r/>
            <w:r>
              <w:rPr>
                <w:rFonts w:ascii="Calibri" w:hAnsi="Calibri"/>
                <w:b w:val="0"/>
                <w:i/>
                <w:color w:val="9CA3AF"/>
                <w:sz w:val="21"/>
              </w:rPr>
              <w:t>[Write your evidence for Task 1 here]</w:t>
            </w:r>
          </w:p>
          <w:p/>
        </w:tc>
      </w:tr>
    </w:tbl>
    <w:p>
      <w:pPr>
        <w:spacing w:after="120" w:before="360"/>
      </w:pPr>
      <w:r>
        <w:rPr>
          <w:rFonts w:ascii="Calibri" w:hAnsi="Calibri"/>
          <w:b/>
          <w:i w:val="0"/>
          <w:color w:val="FF4800"/>
          <w:sz w:val="30"/>
        </w:rPr>
        <w:t>Task 2 — Responsible AI &amp; Ethical Adoption Statement  (AO1)</w:t>
      </w:r>
    </w:p>
    <w:p>
      <w:pPr>
        <w:spacing w:after="80"/>
      </w:pPr>
      <w:r>
        <w:rPr>
          <w:rFonts w:ascii="Calibri" w:hAnsi="Calibri"/>
          <w:b/>
          <w:i w:val="0"/>
          <w:color w:val="0A0A0A"/>
          <w:sz w:val="21"/>
        </w:rPr>
        <w:t xml:space="preserve">Workplace output: </w:t>
      </w:r>
      <w:r>
        <w:rPr>
          <w:rFonts w:ascii="Calibri" w:hAnsi="Calibri"/>
          <w:b w:val="0"/>
          <w:i w:val="0"/>
          <w:color w:val="4B5563"/>
          <w:sz w:val="21"/>
        </w:rPr>
        <w:t>Document covering ethical principles, legal/regulatory considerations, and workforce impact for an AI adoption in their org</w:t>
      </w:r>
    </w:p>
    <w:p>
      <w:pPr>
        <w:spacing w:after="40" w:before="0"/>
      </w:pPr>
      <w:r>
        <w:rPr>
          <w:rFonts w:ascii="Calibri" w:hAnsi="Calibri"/>
          <w:b/>
          <w:i w:val="0"/>
          <w:color w:val="6B7280"/>
          <w:sz w:val="21"/>
        </w:rPr>
        <w:t>KSBs this task covers:</w:t>
      </w:r>
    </w:p>
    <w:p>
      <w:pPr>
        <w:pStyle w:val="ListBullet"/>
        <w:spacing w:after="40"/>
      </w:pPr>
      <w:r>
        <w:rPr>
          <w:rFonts w:ascii="Calibri" w:hAnsi="Calibri"/>
          <w:b/>
          <w:i w:val="0"/>
          <w:color w:val="0A0A0A"/>
          <w:sz w:val="21"/>
        </w:rPr>
        <w:t>K1</w:t>
      </w:r>
      <w:r>
        <w:rPr>
          <w:rFonts w:ascii="Calibri" w:hAnsi="Calibri"/>
          <w:b w:val="0"/>
          <w:i w:val="0"/>
          <w:color w:val="4B5563"/>
          <w:sz w:val="21"/>
        </w:rPr>
        <w:t xml:space="preserve"> — The role of organisational leadership in responsible AI adoption, including setting values, policy, and strategy. The business case for ethical AI adoption, including reputational risk, staff morale, and long-term sustainability.</w:t>
      </w:r>
    </w:p>
    <w:p>
      <w:pPr>
        <w:pStyle w:val="ListBullet"/>
        <w:spacing w:after="40"/>
      </w:pPr>
      <w:r>
        <w:rPr>
          <w:rFonts w:ascii="Calibri" w:hAnsi="Calibri"/>
          <w:b/>
          <w:i w:val="0"/>
          <w:color w:val="0A0A0A"/>
          <w:sz w:val="21"/>
        </w:rPr>
        <w:t>K2</w:t>
      </w:r>
      <w:r>
        <w:rPr>
          <w:rFonts w:ascii="Calibri" w:hAnsi="Calibri"/>
          <w:b w:val="0"/>
          <w:i w:val="0"/>
          <w:color w:val="4B5563"/>
          <w:sz w:val="21"/>
        </w:rPr>
        <w:t xml:space="preserve"> — Legal and regulatory frameworks including employment rights, equality, and responsible automation, data protection and GDPR. Ethical principles and professional standards relevant to AI development such as fairness, transparency, and accountability.</w:t>
      </w:r>
    </w:p>
    <w:p>
      <w:pPr>
        <w:pStyle w:val="ListBullet"/>
        <w:spacing w:after="40"/>
      </w:pPr>
      <w:r>
        <w:rPr>
          <w:rFonts w:ascii="Calibri" w:hAnsi="Calibri"/>
          <w:b/>
          <w:i w:val="0"/>
          <w:color w:val="0A0A0A"/>
          <w:sz w:val="21"/>
        </w:rPr>
        <w:t>K3</w:t>
      </w:r>
      <w:r>
        <w:rPr>
          <w:rFonts w:ascii="Calibri" w:hAnsi="Calibri"/>
          <w:b w:val="0"/>
          <w:i w:val="0"/>
          <w:color w:val="4B5563"/>
          <w:sz w:val="21"/>
        </w:rPr>
        <w:t xml:space="preserve"> — Understand the potential social and economic impacts of AI and automation on different roles, particularly for non-technical staff including change management principles.</w:t>
      </w:r>
    </w:p>
    <w:p>
      <w:pPr>
        <w:pStyle w:val="ListBullet"/>
        <w:spacing w:after="40"/>
      </w:pPr>
      <w:r>
        <w:rPr>
          <w:rFonts w:ascii="Calibri" w:hAnsi="Calibri"/>
          <w:b/>
          <w:i w:val="0"/>
          <w:color w:val="0A0A0A"/>
          <w:sz w:val="21"/>
        </w:rPr>
        <w:t>K7</w:t>
      </w:r>
      <w:r>
        <w:rPr>
          <w:rFonts w:ascii="Calibri" w:hAnsi="Calibri"/>
          <w:b w:val="0"/>
          <w:i w:val="0"/>
          <w:color w:val="4B5563"/>
          <w:sz w:val="21"/>
        </w:rPr>
        <w:t xml:space="preserve"> — The capabilities, benefits and risks of automation, AI and digital tools including responsible use, ethical considerations and the potential impact on the workforce.</w:t>
      </w:r>
    </w:p>
    <w:p>
      <w:pPr>
        <w:pStyle w:val="ListBullet"/>
        <w:spacing w:after="40"/>
      </w:pPr>
      <w:r>
        <w:rPr>
          <w:rFonts w:ascii="Calibri" w:hAnsi="Calibri"/>
          <w:b/>
          <w:i w:val="0"/>
          <w:color w:val="0A0A0A"/>
          <w:sz w:val="21"/>
        </w:rPr>
        <w:t>K15</w:t>
      </w:r>
      <w:r>
        <w:rPr>
          <w:rFonts w:ascii="Calibri" w:hAnsi="Calibri"/>
          <w:b w:val="0"/>
          <w:i w:val="0"/>
          <w:color w:val="4B5563"/>
          <w:sz w:val="21"/>
        </w:rPr>
        <w:t xml:space="preserve"> — Principles of human oversight and human AI collaboration to achieve shared outcomes.</w:t>
      </w:r>
    </w:p>
    <w:p>
      <w:pPr>
        <w:pStyle w:val="ListBullet"/>
        <w:spacing w:after="40"/>
      </w:pPr>
      <w:r>
        <w:rPr>
          <w:rFonts w:ascii="Calibri" w:hAnsi="Calibri"/>
          <w:b/>
          <w:i w:val="0"/>
          <w:color w:val="0A0A0A"/>
          <w:sz w:val="21"/>
        </w:rPr>
        <w:t>K26</w:t>
      </w:r>
      <w:r>
        <w:rPr>
          <w:rFonts w:ascii="Calibri" w:hAnsi="Calibri"/>
          <w:b w:val="0"/>
          <w:i w:val="0"/>
          <w:color w:val="4B5563"/>
          <w:sz w:val="21"/>
        </w:rPr>
        <w:t xml:space="preserve"> — The benefits of wellbeing and safe working practices.</w:t>
      </w:r>
    </w:p>
    <w:p>
      <w:pPr>
        <w:pStyle w:val="ListBullet"/>
        <w:spacing w:after="40"/>
      </w:pPr>
      <w:r>
        <w:rPr>
          <w:rFonts w:ascii="Calibri" w:hAnsi="Calibri"/>
          <w:b/>
          <w:i w:val="0"/>
          <w:color w:val="0A0A0A"/>
          <w:sz w:val="21"/>
        </w:rPr>
        <w:t>S2</w:t>
      </w:r>
      <w:r>
        <w:rPr>
          <w:rFonts w:ascii="Calibri" w:hAnsi="Calibri"/>
          <w:b w:val="0"/>
          <w:i w:val="0"/>
          <w:color w:val="4B5563"/>
          <w:sz w:val="21"/>
        </w:rPr>
        <w:t xml:space="preserve"> — Follow ethical, responsible and safe working practices respecting confidentiality and sensitive organisational matters.</w:t>
      </w:r>
    </w:p>
    <w:p>
      <w:pPr>
        <w:spacing w:after="80" w:before="120"/>
      </w:pPr>
      <w:r>
        <w:rPr>
          <w:rFonts w:ascii="Calibri" w:hAnsi="Calibri"/>
          <w:b w:val="0"/>
          <w:i w:val="0"/>
          <w:color w:val="6B7280"/>
          <w:sz w:val="21"/>
        </w:rPr>
        <w:t>Status:   ☐ Not started    ☐ In progress    ☐ Complete</w:t>
      </w:r>
    </w:p>
    <w:tbl>
      <w:tblPr>
        <w:tblW w:type="auto" w:w="0"/>
        <w:tblLayout w:type="autofit"/>
        <w:tblLook w:firstColumn="1" w:firstRow="1" w:lastColumn="0" w:lastRow="0" w:noHBand="0" w:noVBand="1" w:val="04A0"/>
      </w:tblPr>
      <w:tblGrid>
        <w:gridCol w:w="9746"/>
      </w:tblGrid>
      <w:tr>
        <w:tc>
          <w:tcPr>
            <w:tcW w:type="dxa" w:w="9746"/>
            <w:shd w:val="clear" w:fill="F7F7F7"/>
            <w:tcBorders>
              <w:top w:val="single" w:sz="4" w:color="E5E7EB" w:space="0"/>
              <w:left w:val="single" w:sz="4" w:color="E5E7EB" w:space="0"/>
              <w:bottom w:val="single" w:sz="4" w:color="E5E7EB" w:space="0"/>
              <w:right w:val="single" w:sz="4" w:color="E5E7EB" w:space="0"/>
            </w:tcBorders>
          </w:tcPr>
          <w:p>
            <w:pPr>
              <w:spacing w:after="40"/>
            </w:pPr>
            <w:r/>
            <w:r>
              <w:rPr>
                <w:rFonts w:ascii="Calibri" w:hAnsi="Calibri"/>
                <w:b w:val="0"/>
                <w:i/>
                <w:color w:val="9CA3AF"/>
                <w:sz w:val="21"/>
              </w:rPr>
              <w:t>[Write your evidence for Task 2 here]</w:t>
            </w:r>
          </w:p>
          <w:p/>
        </w:tc>
      </w:tr>
    </w:tbl>
    <w:p>
      <w:pPr>
        <w:spacing w:after="120" w:before="360"/>
      </w:pPr>
      <w:r>
        <w:rPr>
          <w:rFonts w:ascii="Calibri" w:hAnsi="Calibri"/>
          <w:b/>
          <w:i w:val="0"/>
          <w:color w:val="FF4800"/>
          <w:sz w:val="30"/>
        </w:rPr>
        <w:t>Task 3 — Change Management &amp; Communication Record  (AO1, AO5)</w:t>
      </w:r>
    </w:p>
    <w:p>
      <w:pPr>
        <w:spacing w:after="80"/>
      </w:pPr>
      <w:r>
        <w:rPr>
          <w:rFonts w:ascii="Calibri" w:hAnsi="Calibri"/>
          <w:b/>
          <w:i w:val="0"/>
          <w:color w:val="0A0A0A"/>
          <w:sz w:val="21"/>
        </w:rPr>
        <w:t xml:space="preserve">Workplace output: </w:t>
      </w:r>
      <w:r>
        <w:rPr>
          <w:rFonts w:ascii="Calibri" w:hAnsi="Calibri"/>
          <w:b w:val="0"/>
          <w:i w:val="0"/>
          <w:color w:val="4B5563"/>
          <w:sz w:val="21"/>
        </w:rPr>
        <w:t>Evidence of supporting change - comms plan, meeting notes, or dialogue with leaders/employees about AI adoption</w:t>
      </w:r>
    </w:p>
    <w:p>
      <w:pPr>
        <w:spacing w:after="40" w:before="0"/>
      </w:pPr>
      <w:r>
        <w:rPr>
          <w:rFonts w:ascii="Calibri" w:hAnsi="Calibri"/>
          <w:b/>
          <w:i w:val="0"/>
          <w:color w:val="6B7280"/>
          <w:sz w:val="21"/>
        </w:rPr>
        <w:t>KSBs this task covers:</w:t>
      </w:r>
    </w:p>
    <w:p>
      <w:pPr>
        <w:pStyle w:val="ListBullet"/>
        <w:spacing w:after="40"/>
      </w:pPr>
      <w:r>
        <w:rPr>
          <w:rFonts w:ascii="Calibri" w:hAnsi="Calibri"/>
          <w:b/>
          <w:i w:val="0"/>
          <w:color w:val="0A0A0A"/>
          <w:sz w:val="21"/>
        </w:rPr>
        <w:t>K24</w:t>
      </w:r>
      <w:r>
        <w:rPr>
          <w:rFonts w:ascii="Calibri" w:hAnsi="Calibri"/>
          <w:b w:val="0"/>
          <w:i w:val="0"/>
          <w:color w:val="4B5563"/>
          <w:sz w:val="21"/>
        </w:rPr>
        <w:t xml:space="preserve"> — Principles to support project and change management delivery.</w:t>
      </w:r>
    </w:p>
    <w:p>
      <w:pPr>
        <w:pStyle w:val="ListBullet"/>
        <w:spacing w:after="40"/>
      </w:pPr>
      <w:r>
        <w:rPr>
          <w:rFonts w:ascii="Calibri" w:hAnsi="Calibri"/>
          <w:b/>
          <w:i w:val="0"/>
          <w:color w:val="0A0A0A"/>
          <w:sz w:val="21"/>
        </w:rPr>
        <w:t>S5</w:t>
      </w:r>
      <w:r>
        <w:rPr>
          <w:rFonts w:ascii="Calibri" w:hAnsi="Calibri"/>
          <w:b w:val="0"/>
          <w:i w:val="0"/>
          <w:color w:val="4B5563"/>
          <w:sz w:val="21"/>
        </w:rPr>
        <w:t xml:space="preserve"> — Support with the introduction, adaption, and implementation of change. Contribute to constructive dialogue between leaders and employees about the adoption of AI and automation solutions.</w:t>
      </w:r>
    </w:p>
    <w:p>
      <w:pPr>
        <w:pStyle w:val="ListBullet"/>
        <w:spacing w:after="40"/>
      </w:pPr>
      <w:r>
        <w:rPr>
          <w:rFonts w:ascii="Calibri" w:hAnsi="Calibri"/>
          <w:b/>
          <w:i w:val="0"/>
          <w:color w:val="0A0A0A"/>
          <w:sz w:val="21"/>
        </w:rPr>
        <w:t>S20</w:t>
      </w:r>
      <w:r>
        <w:rPr>
          <w:rFonts w:ascii="Calibri" w:hAnsi="Calibri"/>
          <w:b w:val="0"/>
          <w:i w:val="0"/>
          <w:color w:val="4B5563"/>
          <w:sz w:val="21"/>
        </w:rPr>
        <w:t xml:space="preserve"> — Work collaboratively to deploy AI and automation strategies. Support where required to deal with the impact of automation for example retraining, redeployment, or upskilling of affected staff.</w:t>
      </w:r>
    </w:p>
    <w:p>
      <w:pPr>
        <w:pStyle w:val="ListBullet"/>
        <w:spacing w:after="40"/>
      </w:pPr>
      <w:r>
        <w:rPr>
          <w:rFonts w:ascii="Calibri" w:hAnsi="Calibri"/>
          <w:b/>
          <w:i w:val="0"/>
          <w:color w:val="0A0A0A"/>
          <w:sz w:val="21"/>
        </w:rPr>
        <w:t>S23</w:t>
      </w:r>
      <w:r>
        <w:rPr>
          <w:rFonts w:ascii="Calibri" w:hAnsi="Calibri"/>
          <w:b w:val="0"/>
          <w:i w:val="0"/>
          <w:color w:val="4B5563"/>
          <w:sz w:val="21"/>
        </w:rPr>
        <w:t xml:space="preserve"> — Work with others to achieve agreed outcomes or outputs. Provide evidence-based analysis and insight to leaders on the likely human impacts of automation projects.</w:t>
      </w:r>
    </w:p>
    <w:p>
      <w:pPr>
        <w:pStyle w:val="ListBullet"/>
        <w:spacing w:after="40"/>
      </w:pPr>
      <w:r>
        <w:rPr>
          <w:rFonts w:ascii="Calibri" w:hAnsi="Calibri"/>
          <w:b/>
          <w:i w:val="0"/>
          <w:color w:val="0A0A0A"/>
          <w:sz w:val="21"/>
        </w:rPr>
        <w:t>S24</w:t>
      </w:r>
      <w:r>
        <w:rPr>
          <w:rFonts w:ascii="Calibri" w:hAnsi="Calibri"/>
          <w:b w:val="0"/>
          <w:i w:val="0"/>
          <w:color w:val="4B5563"/>
          <w:sz w:val="21"/>
        </w:rPr>
        <w:t xml:space="preserve"> — Use project management principles, techniques and tools to support the development of clear, balanced communications and briefings, articulating both opportunities and risks.</w:t>
      </w:r>
    </w:p>
    <w:p>
      <w:pPr>
        <w:pStyle w:val="ListBullet"/>
        <w:spacing w:after="40"/>
      </w:pPr>
      <w:r>
        <w:rPr>
          <w:rFonts w:ascii="Calibri" w:hAnsi="Calibri"/>
          <w:b/>
          <w:i w:val="0"/>
          <w:color w:val="0A0A0A"/>
          <w:sz w:val="21"/>
        </w:rPr>
        <w:t>K21</w:t>
      </w:r>
      <w:r>
        <w:rPr>
          <w:rFonts w:ascii="Calibri" w:hAnsi="Calibri"/>
          <w:b w:val="0"/>
          <w:i w:val="0"/>
          <w:color w:val="4B5563"/>
          <w:sz w:val="21"/>
        </w:rPr>
        <w:t xml:space="preserve"> — Strategies for inclusive communication with stakeholders from diverse and non-technical backgrounds.</w:t>
      </w:r>
    </w:p>
    <w:p>
      <w:pPr>
        <w:pStyle w:val="ListBullet"/>
        <w:spacing w:after="40"/>
      </w:pPr>
      <w:r>
        <w:rPr>
          <w:rFonts w:ascii="Calibri" w:hAnsi="Calibri"/>
          <w:b/>
          <w:i w:val="0"/>
          <w:color w:val="0A0A0A"/>
          <w:sz w:val="21"/>
        </w:rPr>
        <w:t>S22</w:t>
      </w:r>
      <w:r>
        <w:rPr>
          <w:rFonts w:ascii="Calibri" w:hAnsi="Calibri"/>
          <w:b w:val="0"/>
          <w:i w:val="0"/>
          <w:color w:val="4B5563"/>
          <w:sz w:val="21"/>
        </w:rPr>
        <w:t xml:space="preserve"> — Present and communicate information including the translation of technical concepts into accessible materials to support clear dialogue with stakeholders.</w:t>
      </w:r>
    </w:p>
    <w:p>
      <w:pPr>
        <w:spacing w:after="80" w:before="120"/>
      </w:pPr>
      <w:r>
        <w:rPr>
          <w:rFonts w:ascii="Calibri" w:hAnsi="Calibri"/>
          <w:b w:val="0"/>
          <w:i w:val="0"/>
          <w:color w:val="6B7280"/>
          <w:sz w:val="21"/>
        </w:rPr>
        <w:t>Status:   ☐ Not started    ☐ In progress    ☐ Complete</w:t>
      </w:r>
    </w:p>
    <w:tbl>
      <w:tblPr>
        <w:tblW w:type="auto" w:w="0"/>
        <w:tblLayout w:type="autofit"/>
        <w:tblLook w:firstColumn="1" w:firstRow="1" w:lastColumn="0" w:lastRow="0" w:noHBand="0" w:noVBand="1" w:val="04A0"/>
      </w:tblPr>
      <w:tblGrid>
        <w:gridCol w:w="9746"/>
      </w:tblGrid>
      <w:tr>
        <w:tc>
          <w:tcPr>
            <w:tcW w:type="dxa" w:w="9746"/>
            <w:shd w:val="clear" w:fill="F7F7F7"/>
            <w:tcBorders>
              <w:top w:val="single" w:sz="4" w:color="E5E7EB" w:space="0"/>
              <w:left w:val="single" w:sz="4" w:color="E5E7EB" w:space="0"/>
              <w:bottom w:val="single" w:sz="4" w:color="E5E7EB" w:space="0"/>
              <w:right w:val="single" w:sz="4" w:color="E5E7EB" w:space="0"/>
            </w:tcBorders>
          </w:tcPr>
          <w:p>
            <w:pPr>
              <w:spacing w:after="40"/>
            </w:pPr>
            <w:r/>
            <w:r>
              <w:rPr>
                <w:rFonts w:ascii="Calibri" w:hAnsi="Calibri"/>
                <w:b w:val="0"/>
                <w:i/>
                <w:color w:val="9CA3AF"/>
                <w:sz w:val="21"/>
              </w:rPr>
              <w:t>[Write your evidence for Task 3 here]</w:t>
            </w:r>
          </w:p>
          <w:p/>
        </w:tc>
      </w:tr>
    </w:tbl>
    <w:p>
      <w:pPr>
        <w:spacing w:after="120" w:before="360"/>
      </w:pPr>
      <w:r>
        <w:rPr>
          <w:rFonts w:ascii="Calibri" w:hAnsi="Calibri"/>
          <w:b/>
          <w:i w:val="0"/>
          <w:color w:val="FF4800"/>
          <w:sz w:val="30"/>
        </w:rPr>
        <w:t>Task 4 — Stakeholder Engagement &amp; Enablement Record  (AO5)</w:t>
      </w:r>
    </w:p>
    <w:p>
      <w:pPr>
        <w:spacing w:after="80"/>
      </w:pPr>
      <w:r>
        <w:rPr>
          <w:rFonts w:ascii="Calibri" w:hAnsi="Calibri"/>
          <w:b/>
          <w:i w:val="0"/>
          <w:color w:val="0A0A0A"/>
          <w:sz w:val="21"/>
        </w:rPr>
        <w:t xml:space="preserve">Workplace output: </w:t>
      </w:r>
      <w:r>
        <w:rPr>
          <w:rFonts w:ascii="Calibri" w:hAnsi="Calibri"/>
          <w:b w:val="0"/>
          <w:i w:val="0"/>
          <w:color w:val="4B5563"/>
          <w:sz w:val="21"/>
        </w:rPr>
        <w:t>Training materials, engagement record, or resources created for non-technical staff around AI/automation</w:t>
      </w:r>
    </w:p>
    <w:p>
      <w:pPr>
        <w:spacing w:after="40" w:before="0"/>
      </w:pPr>
      <w:r>
        <w:rPr>
          <w:rFonts w:ascii="Calibri" w:hAnsi="Calibri"/>
          <w:b/>
          <w:i w:val="0"/>
          <w:color w:val="6B7280"/>
          <w:sz w:val="21"/>
        </w:rPr>
        <w:t>KSBs this task covers:</w:t>
      </w:r>
    </w:p>
    <w:p>
      <w:pPr>
        <w:pStyle w:val="ListBullet"/>
        <w:spacing w:after="40"/>
      </w:pPr>
      <w:r>
        <w:rPr>
          <w:rFonts w:ascii="Calibri" w:hAnsi="Calibri"/>
          <w:b/>
          <w:i w:val="0"/>
          <w:color w:val="0A0A0A"/>
          <w:sz w:val="21"/>
        </w:rPr>
        <w:t>K19</w:t>
      </w:r>
      <w:r>
        <w:rPr>
          <w:rFonts w:ascii="Calibri" w:hAnsi="Calibri"/>
          <w:b w:val="0"/>
          <w:i w:val="0"/>
          <w:color w:val="4B5563"/>
          <w:sz w:val="21"/>
        </w:rPr>
        <w:t xml:space="preserve"> — Engagement and training approaches used with non-technical staff to understand their roles, responsibilities, and concerns when AI automation solutions are proposed. Including best practice and methods to deliver training.</w:t>
      </w:r>
    </w:p>
    <w:p>
      <w:pPr>
        <w:pStyle w:val="ListBullet"/>
        <w:spacing w:after="40"/>
      </w:pPr>
      <w:r>
        <w:rPr>
          <w:rFonts w:ascii="Calibri" w:hAnsi="Calibri"/>
          <w:b/>
          <w:i w:val="0"/>
          <w:color w:val="0A0A0A"/>
          <w:sz w:val="21"/>
        </w:rPr>
        <w:t>K20</w:t>
      </w:r>
      <w:r>
        <w:rPr>
          <w:rFonts w:ascii="Calibri" w:hAnsi="Calibri"/>
          <w:b w:val="0"/>
          <w:i w:val="0"/>
          <w:color w:val="4B5563"/>
          <w:sz w:val="21"/>
        </w:rPr>
        <w:t xml:space="preserve"> — Methods to develop resources such as manuals, short explainers, chat-based guidance, interactive wikis and training materials.</w:t>
      </w:r>
    </w:p>
    <w:p>
      <w:pPr>
        <w:pStyle w:val="ListBullet"/>
        <w:spacing w:after="40"/>
      </w:pPr>
      <w:r>
        <w:rPr>
          <w:rFonts w:ascii="Calibri" w:hAnsi="Calibri"/>
          <w:b/>
          <w:i w:val="0"/>
          <w:color w:val="0A0A0A"/>
          <w:sz w:val="21"/>
        </w:rPr>
        <w:t>S4</w:t>
      </w:r>
      <w:r>
        <w:rPr>
          <w:rFonts w:ascii="Calibri" w:hAnsi="Calibri"/>
          <w:b w:val="0"/>
          <w:i w:val="0"/>
          <w:color w:val="4B5563"/>
          <w:sz w:val="21"/>
        </w:rPr>
        <w:t xml:space="preserve"> — Engage with non-technical staff to understand their roles, responsibilities, and concerns when automation solutions are proposed and implemented. Adapt approach to support workforce needs when implementing solutions that impacts the workforce.</w:t>
      </w:r>
    </w:p>
    <w:p>
      <w:pPr>
        <w:pStyle w:val="ListBullet"/>
        <w:spacing w:after="40"/>
      </w:pPr>
      <w:r>
        <w:rPr>
          <w:rFonts w:ascii="Calibri" w:hAnsi="Calibri"/>
          <w:b/>
          <w:i w:val="0"/>
          <w:color w:val="0A0A0A"/>
          <w:sz w:val="21"/>
        </w:rPr>
        <w:t>S18</w:t>
      </w:r>
      <w:r>
        <w:rPr>
          <w:rFonts w:ascii="Calibri" w:hAnsi="Calibri"/>
          <w:b w:val="0"/>
          <w:i w:val="0"/>
          <w:color w:val="4B5563"/>
          <w:sz w:val="21"/>
        </w:rPr>
        <w:t xml:space="preserve"> — Support with the delivery of training to technical and non-technical user groups or audiences adapting content and format responding to feedback and organisational context.</w:t>
      </w:r>
    </w:p>
    <w:p>
      <w:pPr>
        <w:pStyle w:val="ListBullet"/>
        <w:spacing w:after="40"/>
      </w:pPr>
      <w:r>
        <w:rPr>
          <w:rFonts w:ascii="Calibri" w:hAnsi="Calibri"/>
          <w:b/>
          <w:i w:val="0"/>
          <w:color w:val="0A0A0A"/>
          <w:sz w:val="21"/>
        </w:rPr>
        <w:t>S19</w:t>
      </w:r>
      <w:r>
        <w:rPr>
          <w:rFonts w:ascii="Calibri" w:hAnsi="Calibri"/>
          <w:b w:val="0"/>
          <w:i w:val="0"/>
          <w:color w:val="4B5563"/>
          <w:sz w:val="21"/>
        </w:rPr>
        <w:t xml:space="preserve"> — Contribute to the creation and or adaption of resources such as user guides, training materials, process documents to meet user requirements.</w:t>
      </w:r>
    </w:p>
    <w:p>
      <w:pPr>
        <w:spacing w:after="80" w:before="120"/>
      </w:pPr>
      <w:r>
        <w:rPr>
          <w:rFonts w:ascii="Calibri" w:hAnsi="Calibri"/>
          <w:b w:val="0"/>
          <w:i w:val="0"/>
          <w:color w:val="6B7280"/>
          <w:sz w:val="21"/>
        </w:rPr>
        <w:t>Status:   ☐ Not started    ☐ In progress    ☐ Complete</w:t>
      </w:r>
    </w:p>
    <w:tbl>
      <w:tblPr>
        <w:tblW w:type="auto" w:w="0"/>
        <w:tblLayout w:type="autofit"/>
        <w:tblLook w:firstColumn="1" w:firstRow="1" w:lastColumn="0" w:lastRow="0" w:noHBand="0" w:noVBand="1" w:val="04A0"/>
      </w:tblPr>
      <w:tblGrid>
        <w:gridCol w:w="9746"/>
      </w:tblGrid>
      <w:tr>
        <w:tc>
          <w:tcPr>
            <w:tcW w:type="dxa" w:w="9746"/>
            <w:shd w:val="clear" w:fill="F7F7F7"/>
            <w:tcBorders>
              <w:top w:val="single" w:sz="4" w:color="E5E7EB" w:space="0"/>
              <w:left w:val="single" w:sz="4" w:color="E5E7EB" w:space="0"/>
              <w:bottom w:val="single" w:sz="4" w:color="E5E7EB" w:space="0"/>
              <w:right w:val="single" w:sz="4" w:color="E5E7EB" w:space="0"/>
            </w:tcBorders>
          </w:tcPr>
          <w:p>
            <w:pPr>
              <w:spacing w:after="40"/>
            </w:pPr>
            <w:r/>
            <w:r>
              <w:rPr>
                <w:rFonts w:ascii="Calibri" w:hAnsi="Calibri"/>
                <w:b w:val="0"/>
                <w:i/>
                <w:color w:val="9CA3AF"/>
                <w:sz w:val="21"/>
              </w:rPr>
              <w:t>[Write your evidence for Task 4 here]</w:t>
            </w:r>
          </w:p>
          <w:p/>
        </w:tc>
      </w:tr>
    </w:tbl>
    <w:p>
      <w:pPr>
        <w:spacing w:after="120" w:before="360"/>
      </w:pPr>
      <w:r>
        <w:rPr>
          <w:rFonts w:ascii="Calibri" w:hAnsi="Calibri"/>
          <w:b/>
          <w:i w:val="0"/>
          <w:color w:val="FF4800"/>
          <w:sz w:val="30"/>
        </w:rPr>
        <w:t>Task 5 — Governance, Risk &amp; Assurance Document  (AO4)</w:t>
      </w:r>
    </w:p>
    <w:p>
      <w:pPr>
        <w:spacing w:after="80"/>
      </w:pPr>
      <w:r>
        <w:rPr>
          <w:rFonts w:ascii="Calibri" w:hAnsi="Calibri"/>
          <w:b/>
          <w:i w:val="0"/>
          <w:color w:val="0A0A0A"/>
          <w:sz w:val="21"/>
        </w:rPr>
        <w:t xml:space="preserve">Workplace output: </w:t>
      </w:r>
      <w:r>
        <w:rPr>
          <w:rFonts w:ascii="Calibri" w:hAnsi="Calibri"/>
          <w:b w:val="0"/>
          <w:i w:val="0"/>
          <w:color w:val="4B5563"/>
          <w:sz w:val="21"/>
        </w:rPr>
        <w:t>Structured risk/assurance document - could include algorithmic impact, bias considerations, compliance framework</w:t>
      </w:r>
    </w:p>
    <w:p>
      <w:pPr>
        <w:spacing w:after="40" w:before="0"/>
      </w:pPr>
      <w:r>
        <w:rPr>
          <w:rFonts w:ascii="Calibri" w:hAnsi="Calibri"/>
          <w:b/>
          <w:i w:val="0"/>
          <w:color w:val="6B7280"/>
          <w:sz w:val="21"/>
        </w:rPr>
        <w:t>KSBs this task covers:</w:t>
      </w:r>
    </w:p>
    <w:p>
      <w:pPr>
        <w:pStyle w:val="ListBullet"/>
        <w:spacing w:after="40"/>
      </w:pPr>
      <w:r>
        <w:rPr>
          <w:rFonts w:ascii="Calibri" w:hAnsi="Calibri"/>
          <w:b/>
          <w:i w:val="0"/>
          <w:color w:val="0A0A0A"/>
          <w:sz w:val="21"/>
        </w:rPr>
        <w:t>K10</w:t>
      </w:r>
      <w:r>
        <w:rPr>
          <w:rFonts w:ascii="Calibri" w:hAnsi="Calibri"/>
          <w:b w:val="0"/>
          <w:i w:val="0"/>
          <w:color w:val="4B5563"/>
          <w:sz w:val="21"/>
        </w:rPr>
        <w:t xml:space="preserve"> — Sources of error and algorithmic bias, including how they may be affected by choice of dataset and methodologies applied, and the impact on the user and or organisation. Fairness metrics and mitigation approaches.</w:t>
      </w:r>
    </w:p>
    <w:p>
      <w:pPr>
        <w:pStyle w:val="ListBullet"/>
        <w:spacing w:after="40"/>
      </w:pPr>
      <w:r>
        <w:rPr>
          <w:rFonts w:ascii="Calibri" w:hAnsi="Calibri"/>
          <w:b/>
          <w:i w:val="0"/>
          <w:color w:val="0A0A0A"/>
          <w:sz w:val="21"/>
        </w:rPr>
        <w:t>K18</w:t>
      </w:r>
      <w:r>
        <w:rPr>
          <w:rFonts w:ascii="Calibri" w:hAnsi="Calibri"/>
          <w:b w:val="0"/>
          <w:i w:val="0"/>
          <w:color w:val="4B5563"/>
          <w:sz w:val="21"/>
        </w:rPr>
        <w:t xml:space="preserve"> — Governance principles to ensure accountability and compliance, including methods to identify system vulnerabilities and mitigate threats or risks to assets, data and cyber security.</w:t>
      </w:r>
    </w:p>
    <w:p>
      <w:pPr>
        <w:pStyle w:val="ListBullet"/>
        <w:spacing w:after="40"/>
      </w:pPr>
      <w:r>
        <w:rPr>
          <w:rFonts w:ascii="Calibri" w:hAnsi="Calibri"/>
          <w:b/>
          <w:i w:val="0"/>
          <w:color w:val="0A0A0A"/>
          <w:sz w:val="21"/>
        </w:rPr>
        <w:t>K23</w:t>
      </w:r>
      <w:r>
        <w:rPr>
          <w:rFonts w:ascii="Calibri" w:hAnsi="Calibri"/>
          <w:b w:val="0"/>
          <w:i w:val="0"/>
          <w:color w:val="4B5563"/>
          <w:sz w:val="21"/>
        </w:rPr>
        <w:t xml:space="preserve"> — Mitigation strategies for post-deployment issues such as overreliance and automation bias.</w:t>
      </w:r>
    </w:p>
    <w:p>
      <w:pPr>
        <w:pStyle w:val="ListBullet"/>
        <w:spacing w:after="40"/>
      </w:pPr>
      <w:r>
        <w:rPr>
          <w:rFonts w:ascii="Calibri" w:hAnsi="Calibri"/>
          <w:b/>
          <w:i w:val="0"/>
          <w:color w:val="0A0A0A"/>
          <w:sz w:val="21"/>
        </w:rPr>
        <w:t>K27</w:t>
      </w:r>
      <w:r>
        <w:rPr>
          <w:rFonts w:ascii="Calibri" w:hAnsi="Calibri"/>
          <w:b w:val="0"/>
          <w:i w:val="0"/>
          <w:color w:val="4B5563"/>
          <w:sz w:val="21"/>
        </w:rPr>
        <w:t xml:space="preserve"> — Methods for assuring compliance in AI and automation projects, including documentation of model decision-making, conducting structured risk assessments, and aligning implementation with recognised AI assurance and governance frameworks. The importance of auditability, transparency, and accountability in organisational contexts.</w:t>
      </w:r>
    </w:p>
    <w:p>
      <w:pPr>
        <w:pStyle w:val="ListBullet"/>
        <w:spacing w:after="40"/>
      </w:pPr>
      <w:r>
        <w:rPr>
          <w:rFonts w:ascii="Calibri" w:hAnsi="Calibri"/>
          <w:b/>
          <w:i w:val="0"/>
          <w:color w:val="0A0A0A"/>
          <w:sz w:val="21"/>
        </w:rPr>
        <w:t>K28</w:t>
      </w:r>
      <w:r>
        <w:rPr>
          <w:rFonts w:ascii="Calibri" w:hAnsi="Calibri"/>
          <w:b w:val="0"/>
          <w:i w:val="0"/>
          <w:color w:val="4B5563"/>
          <w:sz w:val="21"/>
        </w:rPr>
        <w:t xml:space="preserve"> — Principles and practices of algorithmic impact assessment and workforce equality monitoring, including methods to identify, assess, and mitigate potential disproportionate impacts of automation and AI systems on different workforce groups. Organisational responsibilities under equality and employment law, and methods to evidence fairness and transparency in adoption.</w:t>
      </w:r>
    </w:p>
    <w:p>
      <w:pPr>
        <w:pStyle w:val="ListBullet"/>
        <w:spacing w:after="40"/>
      </w:pPr>
      <w:r>
        <w:rPr>
          <w:rFonts w:ascii="Calibri" w:hAnsi="Calibri"/>
          <w:b/>
          <w:i w:val="0"/>
          <w:color w:val="0A0A0A"/>
          <w:sz w:val="21"/>
        </w:rPr>
        <w:t>K29</w:t>
      </w:r>
      <w:r>
        <w:rPr>
          <w:rFonts w:ascii="Calibri" w:hAnsi="Calibri"/>
          <w:b w:val="0"/>
          <w:i w:val="0"/>
          <w:color w:val="4B5563"/>
          <w:sz w:val="21"/>
        </w:rPr>
        <w:t xml:space="preserve"> — Principles and practices for the long-term monitoring of AI and automation solutions, including detection and mitigation of risks such as model drift, emerging bias, degraded performance, and security vulnerabilities.</w:t>
      </w:r>
    </w:p>
    <w:p>
      <w:pPr>
        <w:pStyle w:val="ListBullet"/>
        <w:spacing w:after="40"/>
      </w:pPr>
      <w:r>
        <w:rPr>
          <w:rFonts w:ascii="Calibri" w:hAnsi="Calibri"/>
          <w:b/>
          <w:i w:val="0"/>
          <w:color w:val="0A0A0A"/>
          <w:sz w:val="21"/>
        </w:rPr>
        <w:t>S28</w:t>
      </w:r>
      <w:r>
        <w:rPr>
          <w:rFonts w:ascii="Calibri" w:hAnsi="Calibri"/>
          <w:b w:val="0"/>
          <w:i w:val="0"/>
          <w:color w:val="4B5563"/>
          <w:sz w:val="21"/>
        </w:rPr>
        <w:t xml:space="preserve"> — Undertake assurance activities to evidence responsible AI and automation, including maintaining clear documentation of design and decision-making, contributing to risk assessments, and applying  assurance frameworks to support compliance with organisational, regulatory, and ethical standards.</w:t>
      </w:r>
    </w:p>
    <w:p>
      <w:pPr>
        <w:pStyle w:val="ListBullet"/>
        <w:spacing w:after="40"/>
      </w:pPr>
      <w:r>
        <w:rPr>
          <w:rFonts w:ascii="Calibri" w:hAnsi="Calibri"/>
          <w:b/>
          <w:i w:val="0"/>
          <w:color w:val="0A0A0A"/>
          <w:sz w:val="21"/>
        </w:rPr>
        <w:t>S29</w:t>
      </w:r>
      <w:r>
        <w:rPr>
          <w:rFonts w:ascii="Calibri" w:hAnsi="Calibri"/>
          <w:b w:val="0"/>
          <w:i w:val="0"/>
          <w:color w:val="4B5563"/>
          <w:sz w:val="21"/>
        </w:rPr>
        <w:t xml:space="preserve"> — Apply algorithmic impact assessment and workforce equality monitoring techniques when scoping, implementing, and reviewing AI and automation projects. Gather and analyse relevant workforce data, identify potential equality risks, and contribute evidence-based recommendations to support fair and inclusive adoption.</w:t>
      </w:r>
    </w:p>
    <w:p>
      <w:pPr>
        <w:spacing w:after="80" w:before="120"/>
      </w:pPr>
      <w:r>
        <w:rPr>
          <w:rFonts w:ascii="Calibri" w:hAnsi="Calibri"/>
          <w:b w:val="0"/>
          <w:i w:val="0"/>
          <w:color w:val="6B7280"/>
          <w:sz w:val="21"/>
        </w:rPr>
        <w:t>Status:   ☐ Not started    ☐ In progress    ☐ Complete</w:t>
      </w:r>
    </w:p>
    <w:tbl>
      <w:tblPr>
        <w:tblW w:type="auto" w:w="0"/>
        <w:tblLayout w:type="autofit"/>
        <w:tblLook w:firstColumn="1" w:firstRow="1" w:lastColumn="0" w:lastRow="0" w:noHBand="0" w:noVBand="1" w:val="04A0"/>
      </w:tblPr>
      <w:tblGrid>
        <w:gridCol w:w="9746"/>
      </w:tblGrid>
      <w:tr>
        <w:tc>
          <w:tcPr>
            <w:tcW w:type="dxa" w:w="9746"/>
            <w:shd w:val="clear" w:fill="F7F7F7"/>
            <w:tcBorders>
              <w:top w:val="single" w:sz="4" w:color="E5E7EB" w:space="0"/>
              <w:left w:val="single" w:sz="4" w:color="E5E7EB" w:space="0"/>
              <w:bottom w:val="single" w:sz="4" w:color="E5E7EB" w:space="0"/>
              <w:right w:val="single" w:sz="4" w:color="E5E7EB" w:space="0"/>
            </w:tcBorders>
          </w:tcPr>
          <w:p>
            <w:pPr>
              <w:spacing w:after="40"/>
            </w:pPr>
            <w:r/>
            <w:r>
              <w:rPr>
                <w:rFonts w:ascii="Calibri" w:hAnsi="Calibri"/>
                <w:b w:val="0"/>
                <w:i/>
                <w:color w:val="9CA3AF"/>
                <w:sz w:val="21"/>
              </w:rPr>
              <w:t>[Write your evidence for Task 5 here]</w:t>
            </w:r>
          </w:p>
          <w:p/>
        </w:tc>
      </w:tr>
    </w:tbl>
    <w:p>
      <w:pPr>
        <w:spacing w:after="120" w:before="360"/>
      </w:pPr>
      <w:r>
        <w:rPr>
          <w:rFonts w:ascii="Calibri" w:hAnsi="Calibri"/>
          <w:b/>
          <w:i w:val="0"/>
          <w:color w:val="FF4800"/>
          <w:sz w:val="30"/>
        </w:rPr>
        <w:t>Task 6 — Continuous Improvement &amp; Impact Report  (AO6)</w:t>
      </w:r>
    </w:p>
    <w:p>
      <w:pPr>
        <w:spacing w:after="80"/>
      </w:pPr>
      <w:r>
        <w:rPr>
          <w:rFonts w:ascii="Calibri" w:hAnsi="Calibri"/>
          <w:b/>
          <w:i w:val="0"/>
          <w:color w:val="0A0A0A"/>
          <w:sz w:val="21"/>
        </w:rPr>
        <w:t xml:space="preserve">Workplace output: </w:t>
      </w:r>
      <w:r>
        <w:rPr>
          <w:rFonts w:ascii="Calibri" w:hAnsi="Calibri"/>
          <w:b w:val="0"/>
          <w:i w:val="0"/>
          <w:color w:val="4B5563"/>
          <w:sz w:val="21"/>
        </w:rPr>
        <w:t>Report on outcomes of an AI/automation initiative - productivity gains, lessons learned, recommendations</w:t>
      </w:r>
    </w:p>
    <w:p>
      <w:pPr>
        <w:spacing w:after="40" w:before="0"/>
      </w:pPr>
      <w:r>
        <w:rPr>
          <w:rFonts w:ascii="Calibri" w:hAnsi="Calibri"/>
          <w:b/>
          <w:i w:val="0"/>
          <w:color w:val="6B7280"/>
          <w:sz w:val="21"/>
        </w:rPr>
        <w:t>KSBs this task covers:</w:t>
      </w:r>
    </w:p>
    <w:p>
      <w:pPr>
        <w:pStyle w:val="ListBullet"/>
        <w:spacing w:after="40"/>
      </w:pPr>
      <w:r>
        <w:rPr>
          <w:rFonts w:ascii="Calibri" w:hAnsi="Calibri"/>
          <w:b/>
          <w:i w:val="0"/>
          <w:color w:val="0A0A0A"/>
          <w:sz w:val="21"/>
        </w:rPr>
        <w:t>K17</w:t>
      </w:r>
      <w:r>
        <w:rPr>
          <w:rFonts w:ascii="Calibri" w:hAnsi="Calibri"/>
          <w:b w:val="0"/>
          <w:i w:val="0"/>
          <w:color w:val="4B5563"/>
          <w:sz w:val="21"/>
        </w:rPr>
        <w:t xml:space="preserve"> — Principles for designing sustainable solutions to support organisational strategies and objectives.</w:t>
      </w:r>
    </w:p>
    <w:p>
      <w:pPr>
        <w:pStyle w:val="ListBullet"/>
        <w:spacing w:after="40"/>
      </w:pPr>
      <w:r>
        <w:rPr>
          <w:rFonts w:ascii="Calibri" w:hAnsi="Calibri"/>
          <w:b/>
          <w:i w:val="0"/>
          <w:color w:val="0A0A0A"/>
          <w:sz w:val="21"/>
        </w:rPr>
        <w:t>K25</w:t>
      </w:r>
      <w:r>
        <w:rPr>
          <w:rFonts w:ascii="Calibri" w:hAnsi="Calibri"/>
          <w:b w:val="0"/>
          <w:i w:val="0"/>
          <w:color w:val="4B5563"/>
          <w:sz w:val="21"/>
        </w:rPr>
        <w:t xml:space="preserve"> — Approaches to maintaining up-to-date knowledge of existing, evolving and emerging technologies and sector trends for example peer learning, online forums, AI tool release notes.</w:t>
      </w:r>
    </w:p>
    <w:p>
      <w:pPr>
        <w:pStyle w:val="ListBullet"/>
        <w:spacing w:after="40"/>
      </w:pPr>
      <w:r>
        <w:rPr>
          <w:rFonts w:ascii="Calibri" w:hAnsi="Calibri"/>
          <w:b/>
          <w:i w:val="0"/>
          <w:color w:val="0A0A0A"/>
          <w:sz w:val="21"/>
        </w:rPr>
        <w:t>S1</w:t>
      </w:r>
      <w:r>
        <w:rPr>
          <w:rFonts w:ascii="Calibri" w:hAnsi="Calibri"/>
          <w:b w:val="0"/>
          <w:i w:val="0"/>
          <w:color w:val="4B5563"/>
          <w:sz w:val="21"/>
        </w:rPr>
        <w:t xml:space="preserve"> — Review, establish, follow and or amend policies and procedures on data and information security.</w:t>
      </w:r>
    </w:p>
    <w:p>
      <w:pPr>
        <w:pStyle w:val="ListBullet"/>
        <w:spacing w:after="40"/>
      </w:pPr>
      <w:r>
        <w:rPr>
          <w:rFonts w:ascii="Calibri" w:hAnsi="Calibri"/>
          <w:b/>
          <w:i w:val="0"/>
          <w:color w:val="0A0A0A"/>
          <w:sz w:val="21"/>
        </w:rPr>
        <w:t>S9</w:t>
      </w:r>
      <w:r>
        <w:rPr>
          <w:rFonts w:ascii="Calibri" w:hAnsi="Calibri"/>
          <w:b w:val="0"/>
          <w:i w:val="0"/>
          <w:color w:val="4B5563"/>
          <w:sz w:val="21"/>
        </w:rPr>
        <w:t xml:space="preserve"> — Apply analytical and computational techniques using tools and datasets to design, evaluate, and optimise automation solutions.</w:t>
      </w:r>
    </w:p>
    <w:p>
      <w:pPr>
        <w:pStyle w:val="ListBullet"/>
        <w:spacing w:after="40"/>
      </w:pPr>
      <w:r>
        <w:rPr>
          <w:rFonts w:ascii="Calibri" w:hAnsi="Calibri"/>
          <w:b/>
          <w:i w:val="0"/>
          <w:color w:val="0A0A0A"/>
          <w:sz w:val="21"/>
        </w:rPr>
        <w:t>S14</w:t>
      </w:r>
      <w:r>
        <w:rPr>
          <w:rFonts w:ascii="Calibri" w:hAnsi="Calibri"/>
          <w:b w:val="0"/>
          <w:i w:val="0"/>
          <w:color w:val="4B5563"/>
          <w:sz w:val="21"/>
        </w:rPr>
        <w:t xml:space="preserve"> — Support in the identification and evaluation of opportunities for increased productivity. For example, use of low-or no-code tools, streamlining processes and use of AI platforms.</w:t>
      </w:r>
    </w:p>
    <w:p>
      <w:pPr>
        <w:pStyle w:val="ListBullet"/>
        <w:spacing w:after="40"/>
      </w:pPr>
      <w:r>
        <w:rPr>
          <w:rFonts w:ascii="Calibri" w:hAnsi="Calibri"/>
          <w:b/>
          <w:i w:val="0"/>
          <w:color w:val="0A0A0A"/>
          <w:sz w:val="21"/>
        </w:rPr>
        <w:t>S15</w:t>
      </w:r>
      <w:r>
        <w:rPr>
          <w:rFonts w:ascii="Calibri" w:hAnsi="Calibri"/>
          <w:b w:val="0"/>
          <w:i w:val="0"/>
          <w:color w:val="4B5563"/>
          <w:sz w:val="21"/>
        </w:rPr>
        <w:t xml:space="preserve"> — Make evidence based suggestions to support governance, outcomes and facilitate improvement for example cost benefit analysis.</w:t>
      </w:r>
    </w:p>
    <w:p>
      <w:pPr>
        <w:pStyle w:val="ListBullet"/>
        <w:spacing w:after="40"/>
      </w:pPr>
      <w:r>
        <w:rPr>
          <w:rFonts w:ascii="Calibri" w:hAnsi="Calibri"/>
          <w:b/>
          <w:i w:val="0"/>
          <w:color w:val="0A0A0A"/>
          <w:sz w:val="21"/>
        </w:rPr>
        <w:t>S16</w:t>
      </w:r>
      <w:r>
        <w:rPr>
          <w:rFonts w:ascii="Calibri" w:hAnsi="Calibri"/>
          <w:b w:val="0"/>
          <w:i w:val="0"/>
          <w:color w:val="4B5563"/>
          <w:sz w:val="21"/>
        </w:rPr>
        <w:t xml:space="preserve"> — Report on productivity and efficiency savings and the opportunities for automation and where applicable when automation does not improve experience or processes.</w:t>
      </w:r>
    </w:p>
    <w:p>
      <w:pPr>
        <w:pStyle w:val="ListBullet"/>
        <w:spacing w:after="40"/>
      </w:pPr>
      <w:r>
        <w:rPr>
          <w:rFonts w:ascii="Calibri" w:hAnsi="Calibri"/>
          <w:b/>
          <w:i w:val="0"/>
          <w:color w:val="0A0A0A"/>
          <w:sz w:val="21"/>
        </w:rPr>
        <w:t>S17</w:t>
      </w:r>
      <w:r>
        <w:rPr>
          <w:rFonts w:ascii="Calibri" w:hAnsi="Calibri"/>
          <w:b w:val="0"/>
          <w:i w:val="0"/>
          <w:color w:val="4B5563"/>
          <w:sz w:val="21"/>
        </w:rPr>
        <w:t xml:space="preserve"> — Contribute to sustainable and efficient AI and automation solutions.</w:t>
      </w:r>
    </w:p>
    <w:p>
      <w:pPr>
        <w:pStyle w:val="ListBullet"/>
        <w:spacing w:after="40"/>
      </w:pPr>
      <w:r>
        <w:rPr>
          <w:rFonts w:ascii="Calibri" w:hAnsi="Calibri"/>
          <w:b/>
          <w:i w:val="0"/>
          <w:color w:val="0A0A0A"/>
          <w:sz w:val="21"/>
        </w:rPr>
        <w:t>S25</w:t>
      </w:r>
      <w:r>
        <w:rPr>
          <w:rFonts w:ascii="Calibri" w:hAnsi="Calibri"/>
          <w:b w:val="0"/>
          <w:i w:val="0"/>
          <w:color w:val="4B5563"/>
          <w:sz w:val="21"/>
        </w:rPr>
        <w:t xml:space="preserve"> — Keep up to date with existing, evolving, emerging technologies and sector trends in AI, automation and technology including methods to evaluate vendor and supplier solutions.</w:t>
      </w:r>
    </w:p>
    <w:p>
      <w:pPr>
        <w:spacing w:after="80" w:before="120"/>
      </w:pPr>
      <w:r>
        <w:rPr>
          <w:rFonts w:ascii="Calibri" w:hAnsi="Calibri"/>
          <w:b w:val="0"/>
          <w:i w:val="0"/>
          <w:color w:val="6B7280"/>
          <w:sz w:val="21"/>
        </w:rPr>
        <w:t>Status:   ☐ Not started    ☐ In progress    ☐ Complete</w:t>
      </w:r>
    </w:p>
    <w:tbl>
      <w:tblPr>
        <w:tblW w:type="auto" w:w="0"/>
        <w:tblLayout w:type="autofit"/>
        <w:tblLook w:firstColumn="1" w:firstRow="1" w:lastColumn="0" w:lastRow="0" w:noHBand="0" w:noVBand="1" w:val="04A0"/>
      </w:tblPr>
      <w:tblGrid>
        <w:gridCol w:w="9746"/>
      </w:tblGrid>
      <w:tr>
        <w:tc>
          <w:tcPr>
            <w:tcW w:type="dxa" w:w="9746"/>
            <w:shd w:val="clear" w:fill="F7F7F7"/>
            <w:tcBorders>
              <w:top w:val="single" w:sz="4" w:color="E5E7EB" w:space="0"/>
              <w:left w:val="single" w:sz="4" w:color="E5E7EB" w:space="0"/>
              <w:bottom w:val="single" w:sz="4" w:color="E5E7EB" w:space="0"/>
              <w:right w:val="single" w:sz="4" w:color="E5E7EB" w:space="0"/>
            </w:tcBorders>
          </w:tcPr>
          <w:p>
            <w:pPr>
              <w:spacing w:after="40"/>
            </w:pPr>
            <w:r/>
            <w:r>
              <w:rPr>
                <w:rFonts w:ascii="Calibri" w:hAnsi="Calibri"/>
                <w:b w:val="0"/>
                <w:i/>
                <w:color w:val="9CA3AF"/>
                <w:sz w:val="21"/>
              </w:rPr>
              <w:t>[Write your evidence for Task 6 here]</w:t>
            </w:r>
          </w:p>
          <w:p/>
        </w:tc>
      </w:tr>
    </w:tbl>
    <w:sectPr w:rsidR="00FC693F" w:rsidRPr="0006063C" w:rsidSect="00034616">
      <w:headerReference w:type="default" r:id="rId9"/>
      <w:footerReference w:type="default" r:id="rId10"/>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rFonts w:ascii="Calibri" w:hAnsi="Calibri"/>
        <w:b w:val="0"/>
        <w:i w:val="0"/>
        <w:color w:val="6B7280"/>
        <w:sz w:val="18"/>
      </w:rPr>
      <w:t>Portfolio Evidence Tracker  ·  theaicore.com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1080000" cy="529875"/>
          <wp:docPr id="1" name="Picture 1"/>
          <wp:cNvGraphicFramePr>
            <a:graphicFrameLocks noChangeAspect="1"/>
          </wp:cNvGraphicFramePr>
          <a:graphic>
            <a:graphicData uri="http://schemas.openxmlformats.org/drawingml/2006/picture">
              <pic:pic>
                <pic:nvPicPr>
                  <pic:cNvPr id="0" name="aicore-logo.png"/>
                  <pic:cNvPicPr/>
                </pic:nvPicPr>
                <pic:blipFill>
                  <a:blip r:embed="rId1"/>
                  <a:stretch>
                    <a:fillRect/>
                  </a:stretch>
                </pic:blipFill>
                <pic:spPr>
                  <a:xfrm>
                    <a:off x="0" y="0"/>
                    <a:ext cx="1080000" cy="529875"/>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